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0A8B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</w:p>
    <w:p w14:paraId="4A66ED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08DB6AFA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eastAsia="zh-CN" w:bidi="ar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bidi="ar"/>
        </w:rPr>
        <w:t>2026年全省数据要素市场化配置改革“揭榜挂帅”</w:t>
      </w: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  <w:t>榜单</w:t>
      </w:r>
    </w:p>
    <w:tbl>
      <w:tblPr>
        <w:tblStyle w:val="4"/>
        <w:tblpPr w:leftFromText="180" w:rightFromText="180" w:vertAnchor="text" w:horzAnchor="page" w:tblpX="1338" w:tblpY="545"/>
        <w:tblOverlap w:val="never"/>
        <w:tblW w:w="506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7"/>
        <w:gridCol w:w="1641"/>
        <w:gridCol w:w="2842"/>
        <w:gridCol w:w="6967"/>
        <w:gridCol w:w="2000"/>
      </w:tblGrid>
      <w:tr w14:paraId="71168D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9" w:type="pct"/>
          </w:tcPr>
          <w:p w14:paraId="0493DE7B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黑体" w:hAnsi="黑体" w:eastAsia="黑体" w:cs="黑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黑体" w:hAnsi="黑体" w:eastAsia="黑体" w:cs="黑体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571" w:type="pct"/>
          </w:tcPr>
          <w:p w14:paraId="7FA5AF52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黑体" w:hAnsi="黑体" w:eastAsia="黑体" w:cs="黑体"/>
                <w:kern w:val="0"/>
                <w:sz w:val="32"/>
                <w:szCs w:val="32"/>
                <w:lang w:bidi="ar"/>
              </w:rPr>
              <w:t>类别</w:t>
            </w:r>
          </w:p>
        </w:tc>
        <w:tc>
          <w:tcPr>
            <w:tcW w:w="989" w:type="pct"/>
          </w:tcPr>
          <w:p w14:paraId="1E7DD97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黑体" w:hAnsi="黑体" w:eastAsia="黑体" w:cs="黑体"/>
                <w:kern w:val="0"/>
                <w:sz w:val="32"/>
                <w:szCs w:val="32"/>
                <w:lang w:eastAsia="zh-CN" w:bidi="ar"/>
              </w:rPr>
            </w:pPr>
            <w:r>
              <w:rPr>
                <w:rFonts w:hint="eastAsia" w:ascii="黑体" w:hAnsi="黑体" w:eastAsia="黑体" w:cs="黑体"/>
                <w:kern w:val="0"/>
                <w:sz w:val="32"/>
                <w:szCs w:val="32"/>
                <w:lang w:bidi="ar"/>
              </w:rPr>
              <w:t>项目</w:t>
            </w:r>
            <w:r>
              <w:rPr>
                <w:rFonts w:hint="eastAsia" w:ascii="黑体" w:hAnsi="黑体" w:eastAsia="黑体" w:cs="黑体"/>
                <w:kern w:val="0"/>
                <w:sz w:val="32"/>
                <w:szCs w:val="32"/>
                <w:lang w:eastAsia="zh-CN" w:bidi="ar"/>
              </w:rPr>
              <w:t>名称</w:t>
            </w:r>
          </w:p>
        </w:tc>
        <w:tc>
          <w:tcPr>
            <w:tcW w:w="2424" w:type="pct"/>
          </w:tcPr>
          <w:p w14:paraId="72E614D3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黑体" w:hAnsi="黑体" w:eastAsia="黑体" w:cs="黑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黑体" w:hAnsi="黑体" w:eastAsia="黑体" w:cs="黑体"/>
                <w:kern w:val="0"/>
                <w:sz w:val="32"/>
                <w:szCs w:val="32"/>
                <w:lang w:bidi="ar"/>
              </w:rPr>
              <w:t>拟解决问题</w:t>
            </w:r>
          </w:p>
        </w:tc>
        <w:tc>
          <w:tcPr>
            <w:tcW w:w="696" w:type="pct"/>
          </w:tcPr>
          <w:p w14:paraId="286775A2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黑体" w:hAnsi="黑体" w:eastAsia="黑体" w:cs="黑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黑体" w:hAnsi="黑体" w:eastAsia="黑体" w:cs="黑体"/>
                <w:kern w:val="0"/>
                <w:sz w:val="32"/>
                <w:szCs w:val="32"/>
                <w:lang w:bidi="ar"/>
              </w:rPr>
              <w:t>成果形式</w:t>
            </w:r>
          </w:p>
        </w:tc>
      </w:tr>
      <w:tr w14:paraId="189193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7" w:hRule="atLeast"/>
        </w:trPr>
        <w:tc>
          <w:tcPr>
            <w:tcW w:w="319" w:type="pct"/>
            <w:shd w:val="clear" w:color="auto" w:fill="auto"/>
            <w:vAlign w:val="center"/>
          </w:tcPr>
          <w:p w14:paraId="3533A9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1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76475F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理论研究类</w:t>
            </w:r>
          </w:p>
        </w:tc>
        <w:tc>
          <w:tcPr>
            <w:tcW w:w="989" w:type="pct"/>
            <w:shd w:val="clear" w:color="auto" w:fill="auto"/>
            <w:vAlign w:val="center"/>
          </w:tcPr>
          <w:p w14:paraId="7E5470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数据要素在提高全要素生产率中的作用机理研究</w:t>
            </w:r>
          </w:p>
        </w:tc>
        <w:tc>
          <w:tcPr>
            <w:tcW w:w="2424" w:type="pct"/>
            <w:shd w:val="clear" w:color="auto" w:fill="auto"/>
            <w:vAlign w:val="center"/>
          </w:tcPr>
          <w:p w14:paraId="250B4C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研究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数据要素与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资本、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技术、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劳动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等传统生产要素的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互补、替代、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融合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等关系，分析数据要素与其他要素的相互作用机理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，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提出发挥数据要素作用、提高全要素生产率的具体路径。</w:t>
            </w:r>
          </w:p>
        </w:tc>
        <w:tc>
          <w:tcPr>
            <w:tcW w:w="696" w:type="pct"/>
            <w:shd w:val="clear" w:color="auto" w:fill="auto"/>
            <w:vAlign w:val="center"/>
          </w:tcPr>
          <w:p w14:paraId="23738A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研究报告</w:t>
            </w:r>
          </w:p>
        </w:tc>
      </w:tr>
      <w:tr w14:paraId="15E69E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7" w:hRule="atLeast"/>
        </w:trPr>
        <w:tc>
          <w:tcPr>
            <w:tcW w:w="319" w:type="pct"/>
            <w:shd w:val="clear" w:color="auto" w:fill="auto"/>
            <w:vAlign w:val="center"/>
          </w:tcPr>
          <w:p w14:paraId="28AFEE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48BEDC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小标宋简体" w:cs="Times New Roman"/>
                <w:kern w:val="0"/>
                <w:sz w:val="44"/>
                <w:szCs w:val="4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理论研究类</w:t>
            </w:r>
          </w:p>
        </w:tc>
        <w:tc>
          <w:tcPr>
            <w:tcW w:w="989" w:type="pct"/>
            <w:shd w:val="clear" w:color="auto" w:fill="auto"/>
            <w:vAlign w:val="center"/>
          </w:tcPr>
          <w:p w14:paraId="43FA72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小标宋简体" w:cs="Times New Roman"/>
                <w:kern w:val="0"/>
                <w:sz w:val="44"/>
                <w:szCs w:val="4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一体化数据市场建设路径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研究</w:t>
            </w:r>
          </w:p>
        </w:tc>
        <w:tc>
          <w:tcPr>
            <w:tcW w:w="2424" w:type="pct"/>
            <w:shd w:val="clear" w:color="auto" w:fill="auto"/>
            <w:vAlign w:val="center"/>
          </w:tcPr>
          <w:p w14:paraId="5FFACB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default" w:ascii="Times New Roman" w:hAnsi="Times New Roman" w:eastAsia="方正小标宋简体" w:cs="Times New Roman"/>
                <w:kern w:val="0"/>
                <w:sz w:val="44"/>
                <w:szCs w:val="44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明确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省域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一体化数据市场建设的重点、难点等，研究提出山东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省一体化数据市场建设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的推进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路径。</w:t>
            </w:r>
          </w:p>
        </w:tc>
        <w:tc>
          <w:tcPr>
            <w:tcW w:w="696" w:type="pct"/>
            <w:shd w:val="clear" w:color="auto" w:fill="auto"/>
            <w:vAlign w:val="center"/>
          </w:tcPr>
          <w:p w14:paraId="60F577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小标宋简体" w:cs="Times New Roman"/>
                <w:kern w:val="0"/>
                <w:sz w:val="44"/>
                <w:szCs w:val="4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研究报告</w:t>
            </w:r>
          </w:p>
        </w:tc>
      </w:tr>
      <w:tr w14:paraId="445108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7" w:hRule="atLeast"/>
        </w:trPr>
        <w:tc>
          <w:tcPr>
            <w:tcW w:w="319" w:type="pct"/>
            <w:shd w:val="clear" w:color="auto" w:fill="auto"/>
            <w:vAlign w:val="center"/>
          </w:tcPr>
          <w:p w14:paraId="5BF098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430DEA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理论研究类</w:t>
            </w:r>
          </w:p>
        </w:tc>
        <w:tc>
          <w:tcPr>
            <w:tcW w:w="989" w:type="pct"/>
            <w:shd w:val="clear" w:color="auto" w:fill="auto"/>
            <w:vAlign w:val="center"/>
          </w:tcPr>
          <w:p w14:paraId="7FACFF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数据产权登记</w:t>
            </w:r>
          </w:p>
          <w:p w14:paraId="3EE624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小标宋简体" w:cs="Times New Roman"/>
                <w:kern w:val="0"/>
                <w:sz w:val="44"/>
                <w:szCs w:val="4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法律效力研究</w:t>
            </w:r>
          </w:p>
        </w:tc>
        <w:tc>
          <w:tcPr>
            <w:tcW w:w="2424" w:type="pct"/>
            <w:shd w:val="clear" w:color="auto" w:fill="auto"/>
            <w:vAlign w:val="center"/>
          </w:tcPr>
          <w:p w14:paraId="27D6A3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default" w:ascii="Times New Roman" w:hAnsi="Times New Roman" w:eastAsia="方正小标宋简体" w:cs="Times New Roman"/>
                <w:kern w:val="0"/>
                <w:sz w:val="44"/>
                <w:szCs w:val="4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明确数据产权登记的性质、定位、要点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eastAsia="zh-CN"/>
              </w:rPr>
              <w:t>，分析数据产权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登记凭证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eastAsia="zh-CN"/>
              </w:rPr>
              <w:t>的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应用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eastAsia="zh-CN"/>
              </w:rPr>
              <w:t>场景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及司法效力等，研究提出提高数据产权登记法律效力的具体举措。</w:t>
            </w:r>
          </w:p>
        </w:tc>
        <w:tc>
          <w:tcPr>
            <w:tcW w:w="696" w:type="pct"/>
            <w:shd w:val="clear" w:color="auto" w:fill="auto"/>
            <w:vAlign w:val="center"/>
          </w:tcPr>
          <w:p w14:paraId="1B8FD9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小标宋简体" w:cs="Times New Roman"/>
                <w:kern w:val="0"/>
                <w:sz w:val="44"/>
                <w:szCs w:val="4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研究报告</w:t>
            </w:r>
          </w:p>
        </w:tc>
      </w:tr>
      <w:tr w14:paraId="012664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0" w:hRule="atLeast"/>
        </w:trPr>
        <w:tc>
          <w:tcPr>
            <w:tcW w:w="319" w:type="pct"/>
            <w:shd w:val="clear" w:color="auto" w:fill="auto"/>
            <w:vAlign w:val="center"/>
          </w:tcPr>
          <w:p w14:paraId="76EC06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6E35DD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理论研究类</w:t>
            </w:r>
          </w:p>
        </w:tc>
        <w:tc>
          <w:tcPr>
            <w:tcW w:w="989" w:type="pct"/>
            <w:shd w:val="clear" w:color="auto" w:fill="auto"/>
            <w:vAlign w:val="center"/>
          </w:tcPr>
          <w:p w14:paraId="345D26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数据市场信用体系</w:t>
            </w:r>
          </w:p>
          <w:p w14:paraId="40BE52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建设研究</w:t>
            </w:r>
          </w:p>
        </w:tc>
        <w:tc>
          <w:tcPr>
            <w:tcW w:w="2424" w:type="pct"/>
            <w:shd w:val="clear" w:color="auto" w:fill="auto"/>
            <w:vAlign w:val="center"/>
          </w:tcPr>
          <w:p w14:paraId="430FE2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研究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构建数据市场信用体系整体框架，明确数据市场信用体系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建设的重点、难点等，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提出基于信用评价结果的激励与惩戒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举措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。</w:t>
            </w:r>
          </w:p>
        </w:tc>
        <w:tc>
          <w:tcPr>
            <w:tcW w:w="696" w:type="pct"/>
            <w:shd w:val="clear" w:color="auto" w:fill="auto"/>
            <w:vAlign w:val="center"/>
          </w:tcPr>
          <w:p w14:paraId="708913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研究报告</w:t>
            </w:r>
          </w:p>
        </w:tc>
      </w:tr>
      <w:tr w14:paraId="16A93A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0" w:hRule="atLeast"/>
        </w:trPr>
        <w:tc>
          <w:tcPr>
            <w:tcW w:w="319" w:type="pct"/>
            <w:shd w:val="clear" w:color="auto" w:fill="auto"/>
            <w:vAlign w:val="center"/>
          </w:tcPr>
          <w:p w14:paraId="6B249E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060A34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理论研究类</w:t>
            </w:r>
          </w:p>
        </w:tc>
        <w:tc>
          <w:tcPr>
            <w:tcW w:w="989" w:type="pct"/>
            <w:shd w:val="clear" w:color="auto" w:fill="auto"/>
            <w:vAlign w:val="center"/>
          </w:tcPr>
          <w:p w14:paraId="5EAD04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公共数据资源授权</w:t>
            </w:r>
          </w:p>
          <w:p w14:paraId="4FC858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运营收费标准研究</w:t>
            </w:r>
          </w:p>
        </w:tc>
        <w:tc>
          <w:tcPr>
            <w:tcW w:w="2424" w:type="pct"/>
            <w:shd w:val="clear" w:color="auto" w:fill="auto"/>
            <w:vAlign w:val="center"/>
          </w:tcPr>
          <w:p w14:paraId="1909CB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明确公共数据资源授权运营收费标准的制定方法和路径，为收费标准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的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确定提供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理论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支撑。</w:t>
            </w:r>
          </w:p>
        </w:tc>
        <w:tc>
          <w:tcPr>
            <w:tcW w:w="696" w:type="pct"/>
            <w:shd w:val="clear" w:color="auto" w:fill="auto"/>
            <w:vAlign w:val="center"/>
          </w:tcPr>
          <w:p w14:paraId="1A0B66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研究报告</w:t>
            </w:r>
          </w:p>
        </w:tc>
      </w:tr>
      <w:tr w14:paraId="3FD9D1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0" w:hRule="atLeast"/>
        </w:trPr>
        <w:tc>
          <w:tcPr>
            <w:tcW w:w="319" w:type="pct"/>
            <w:shd w:val="clear" w:color="auto" w:fill="auto"/>
            <w:vAlign w:val="center"/>
          </w:tcPr>
          <w:p w14:paraId="4AA928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i w:val="0"/>
                <w:iCs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kern w:val="0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2134CC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kern w:val="0"/>
                <w:sz w:val="28"/>
                <w:szCs w:val="28"/>
                <w:lang w:val="en-US" w:eastAsia="zh-CN"/>
              </w:rPr>
              <w:t>理论研究类</w:t>
            </w:r>
          </w:p>
        </w:tc>
        <w:tc>
          <w:tcPr>
            <w:tcW w:w="989" w:type="pct"/>
            <w:shd w:val="clear" w:color="auto" w:fill="auto"/>
            <w:vAlign w:val="center"/>
          </w:tcPr>
          <w:p w14:paraId="08EF8A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kern w:val="0"/>
                <w:sz w:val="28"/>
                <w:szCs w:val="28"/>
                <w:highlight w:val="none"/>
                <w:lang w:val="en-US" w:eastAsia="zh-CN"/>
              </w:rPr>
              <w:t>数据产业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kern w:val="0"/>
                <w:sz w:val="28"/>
                <w:szCs w:val="28"/>
                <w:highlight w:val="none"/>
                <w:lang w:val="en-US" w:eastAsia="zh-CN"/>
              </w:rPr>
              <w:t>集群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kern w:val="0"/>
                <w:sz w:val="28"/>
                <w:szCs w:val="28"/>
                <w:highlight w:val="none"/>
                <w:lang w:val="en-US" w:eastAsia="zh-CN"/>
              </w:rPr>
              <w:t>发展</w:t>
            </w:r>
          </w:p>
          <w:p w14:paraId="51936A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kern w:val="0"/>
                <w:sz w:val="28"/>
                <w:szCs w:val="28"/>
                <w:highlight w:val="yellow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kern w:val="0"/>
                <w:sz w:val="28"/>
                <w:szCs w:val="28"/>
                <w:highlight w:val="none"/>
                <w:lang w:val="en-US" w:eastAsia="zh-CN"/>
              </w:rPr>
              <w:t>路径研究</w:t>
            </w:r>
          </w:p>
        </w:tc>
        <w:tc>
          <w:tcPr>
            <w:tcW w:w="2424" w:type="pct"/>
            <w:shd w:val="clear" w:color="auto" w:fill="auto"/>
            <w:vAlign w:val="center"/>
          </w:tcPr>
          <w:p w14:paraId="0E0DA7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default" w:ascii="Times New Roman" w:hAnsi="Times New Roman" w:eastAsia="方正小标宋简体" w:cs="Times New Roman"/>
                <w:kern w:val="0"/>
                <w:sz w:val="44"/>
                <w:szCs w:val="4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kern w:val="0"/>
                <w:sz w:val="28"/>
                <w:szCs w:val="28"/>
                <w:lang w:val="en-US" w:eastAsia="zh-CN"/>
              </w:rPr>
              <w:t>研究数据产业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kern w:val="0"/>
                <w:sz w:val="28"/>
                <w:szCs w:val="28"/>
                <w:lang w:val="en-US" w:eastAsia="zh-CN"/>
              </w:rPr>
              <w:t>集群的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kern w:val="0"/>
                <w:sz w:val="28"/>
                <w:szCs w:val="28"/>
                <w:lang w:val="en-US" w:eastAsia="zh-CN"/>
              </w:rPr>
              <w:t>发展路径，绘制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kern w:val="0"/>
                <w:sz w:val="28"/>
                <w:szCs w:val="28"/>
                <w:lang w:val="en-US" w:eastAsia="zh-CN"/>
              </w:rPr>
              <w:t>山东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kern w:val="0"/>
                <w:sz w:val="28"/>
                <w:szCs w:val="28"/>
                <w:lang w:val="en-US" w:eastAsia="zh-CN"/>
              </w:rPr>
              <w:t>省数据产业“1张图谱”和项目、企业、场景等“N张清单”，研究提出培育数据产业集群、壮大数据产业链的具体举措，推动数据产业链上下游企业协同发展。</w:t>
            </w:r>
          </w:p>
        </w:tc>
        <w:tc>
          <w:tcPr>
            <w:tcW w:w="696" w:type="pct"/>
            <w:shd w:val="clear" w:color="auto" w:fill="auto"/>
            <w:vAlign w:val="center"/>
          </w:tcPr>
          <w:p w14:paraId="08AA98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小标宋简体" w:cs="Times New Roman"/>
                <w:kern w:val="0"/>
                <w:sz w:val="44"/>
                <w:szCs w:val="4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kern w:val="0"/>
                <w:sz w:val="28"/>
                <w:szCs w:val="28"/>
                <w:lang w:val="en-US" w:eastAsia="zh-CN"/>
              </w:rPr>
              <w:t>研究报告</w:t>
            </w:r>
          </w:p>
        </w:tc>
      </w:tr>
      <w:tr w14:paraId="080540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0" w:hRule="atLeast"/>
        </w:trPr>
        <w:tc>
          <w:tcPr>
            <w:tcW w:w="319" w:type="pct"/>
            <w:shd w:val="clear" w:color="auto" w:fill="auto"/>
            <w:vAlign w:val="center"/>
          </w:tcPr>
          <w:p w14:paraId="54687A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i w:val="0"/>
                <w:iCs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13B9CB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理论研究类</w:t>
            </w:r>
          </w:p>
        </w:tc>
        <w:tc>
          <w:tcPr>
            <w:tcW w:w="989" w:type="pct"/>
            <w:shd w:val="clear" w:color="auto" w:fill="auto"/>
            <w:vAlign w:val="center"/>
          </w:tcPr>
          <w:p w14:paraId="1D24EF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人工智能（AI）赋能城市智慧高效治理的机制和路径研究</w:t>
            </w:r>
          </w:p>
        </w:tc>
        <w:tc>
          <w:tcPr>
            <w:tcW w:w="2424" w:type="pct"/>
            <w:shd w:val="clear" w:color="auto" w:fill="auto"/>
            <w:vAlign w:val="center"/>
          </w:tcPr>
          <w:p w14:paraId="62ADA9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聚焦AI技术与城市治理的深度融合，阐释AI赋能城市治理的内在作用机制，如数据流转机制、多元协同机制、决策优化机制等，提出兼具理论指导性与实践可行性的实施路径。</w:t>
            </w:r>
          </w:p>
        </w:tc>
        <w:tc>
          <w:tcPr>
            <w:tcW w:w="696" w:type="pct"/>
            <w:shd w:val="clear" w:color="auto" w:fill="auto"/>
            <w:vAlign w:val="center"/>
          </w:tcPr>
          <w:p w14:paraId="1AB710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研究报告</w:t>
            </w:r>
          </w:p>
        </w:tc>
      </w:tr>
      <w:tr w14:paraId="4F6F0F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0" w:hRule="atLeast"/>
        </w:trPr>
        <w:tc>
          <w:tcPr>
            <w:tcW w:w="319" w:type="pct"/>
            <w:shd w:val="clear" w:color="auto" w:fill="auto"/>
            <w:vAlign w:val="center"/>
          </w:tcPr>
          <w:p w14:paraId="1BD047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8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5DAB0F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实践探索类</w:t>
            </w:r>
          </w:p>
        </w:tc>
        <w:tc>
          <w:tcPr>
            <w:tcW w:w="989" w:type="pct"/>
            <w:shd w:val="clear" w:color="auto" w:fill="auto"/>
            <w:vAlign w:val="center"/>
          </w:tcPr>
          <w:p w14:paraId="621FFC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数据赋能实体经济</w:t>
            </w:r>
          </w:p>
          <w:p w14:paraId="180333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高质量发展路径探索</w:t>
            </w:r>
          </w:p>
        </w:tc>
        <w:tc>
          <w:tcPr>
            <w:tcW w:w="2424" w:type="pct"/>
            <w:shd w:val="clear" w:color="auto" w:fill="auto"/>
            <w:vAlign w:val="center"/>
          </w:tcPr>
          <w:p w14:paraId="4EBFD5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围绕制造业、农业、服务业数智化转型，探索具体行业领域的数据赋能实体经济高质量发展模式和路径。</w:t>
            </w:r>
          </w:p>
        </w:tc>
        <w:tc>
          <w:tcPr>
            <w:tcW w:w="696" w:type="pct"/>
            <w:shd w:val="clear" w:color="auto" w:fill="auto"/>
            <w:vAlign w:val="center"/>
          </w:tcPr>
          <w:p w14:paraId="1ADA97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实践案例</w:t>
            </w:r>
          </w:p>
        </w:tc>
      </w:tr>
      <w:tr w14:paraId="624DC6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0" w:hRule="atLeast"/>
        </w:trPr>
        <w:tc>
          <w:tcPr>
            <w:tcW w:w="319" w:type="pct"/>
            <w:shd w:val="clear" w:color="auto" w:fill="auto"/>
            <w:vAlign w:val="center"/>
          </w:tcPr>
          <w:p w14:paraId="0A4C99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9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054D80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实践探索类</w:t>
            </w:r>
          </w:p>
        </w:tc>
        <w:tc>
          <w:tcPr>
            <w:tcW w:w="989" w:type="pct"/>
            <w:shd w:val="clear" w:color="auto" w:fill="auto"/>
            <w:vAlign w:val="center"/>
          </w:tcPr>
          <w:p w14:paraId="388153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高质量数据集建设</w:t>
            </w:r>
          </w:p>
          <w:p w14:paraId="28DF5F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应用路径探索</w:t>
            </w:r>
          </w:p>
        </w:tc>
        <w:tc>
          <w:tcPr>
            <w:tcW w:w="2424" w:type="pct"/>
            <w:shd w:val="clear" w:color="auto" w:fill="auto"/>
            <w:vAlign w:val="center"/>
          </w:tcPr>
          <w:p w14:paraId="1A3B50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明确具体行业领域高质量数据集建设的关键要点，分析高质量数据集赋能人工智能发展应用的重点难点问题，探索行业高质量数据集建设路径和应用模式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。</w:t>
            </w:r>
          </w:p>
        </w:tc>
        <w:tc>
          <w:tcPr>
            <w:tcW w:w="696" w:type="pct"/>
            <w:shd w:val="clear" w:color="auto" w:fill="auto"/>
            <w:vAlign w:val="center"/>
          </w:tcPr>
          <w:p w14:paraId="645DEA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实践案例</w:t>
            </w:r>
          </w:p>
        </w:tc>
      </w:tr>
      <w:tr w14:paraId="0F9035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0" w:hRule="atLeast"/>
        </w:trPr>
        <w:tc>
          <w:tcPr>
            <w:tcW w:w="319" w:type="pct"/>
            <w:shd w:val="clear" w:color="auto" w:fill="auto"/>
            <w:vAlign w:val="center"/>
          </w:tcPr>
          <w:p w14:paraId="266E55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10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734B96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实践探索类</w:t>
            </w:r>
          </w:p>
        </w:tc>
        <w:tc>
          <w:tcPr>
            <w:tcW w:w="989" w:type="pct"/>
            <w:shd w:val="clear" w:color="auto" w:fill="auto"/>
            <w:vAlign w:val="center"/>
          </w:tcPr>
          <w:p w14:paraId="02F80B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人工智能（AI）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赋能数据要素价值释放</w:t>
            </w:r>
          </w:p>
          <w:p w14:paraId="718E78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路径探索</w:t>
            </w:r>
          </w:p>
        </w:tc>
        <w:tc>
          <w:tcPr>
            <w:tcW w:w="2424" w:type="pct"/>
            <w:shd w:val="clear" w:color="auto" w:fill="auto"/>
            <w:vAlign w:val="center"/>
          </w:tcPr>
          <w:p w14:paraId="1570DB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研究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分析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AI在数据采集治理、价值挖掘、场景应用等过程中的作用，探索AI赋能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数据要素价值释放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的应用模式和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实施路径。</w:t>
            </w:r>
          </w:p>
        </w:tc>
        <w:tc>
          <w:tcPr>
            <w:tcW w:w="696" w:type="pct"/>
            <w:shd w:val="clear" w:color="auto" w:fill="auto"/>
            <w:vAlign w:val="center"/>
          </w:tcPr>
          <w:p w14:paraId="2E7585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实践案例</w:t>
            </w:r>
          </w:p>
        </w:tc>
      </w:tr>
      <w:tr w14:paraId="10BEA6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0" w:hRule="atLeast"/>
        </w:trPr>
        <w:tc>
          <w:tcPr>
            <w:tcW w:w="319" w:type="pct"/>
            <w:shd w:val="clear" w:color="auto" w:fill="auto"/>
            <w:vAlign w:val="center"/>
          </w:tcPr>
          <w:p w14:paraId="0993A9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11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167799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实践探索类</w:t>
            </w:r>
          </w:p>
        </w:tc>
        <w:tc>
          <w:tcPr>
            <w:tcW w:w="989" w:type="pct"/>
            <w:shd w:val="clear" w:color="auto" w:fill="auto"/>
            <w:vAlign w:val="center"/>
          </w:tcPr>
          <w:p w14:paraId="23C4CB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数据流通服务平台</w:t>
            </w:r>
          </w:p>
          <w:p w14:paraId="3E703E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发展模式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探索</w:t>
            </w:r>
          </w:p>
        </w:tc>
        <w:tc>
          <w:tcPr>
            <w:tcW w:w="2424" w:type="pct"/>
            <w:shd w:val="clear" w:color="auto" w:fill="auto"/>
            <w:vAlign w:val="center"/>
          </w:tcPr>
          <w:p w14:paraId="494B93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明确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数据流通服务平台企业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在数据市场中的发展定位，分析其与数据交易所（中心）、数据商之间的关系，探索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数据流通服务平台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发展、促进数据流通利用的路径。</w:t>
            </w:r>
          </w:p>
        </w:tc>
        <w:tc>
          <w:tcPr>
            <w:tcW w:w="696" w:type="pct"/>
            <w:shd w:val="clear" w:color="auto" w:fill="auto"/>
            <w:vAlign w:val="center"/>
          </w:tcPr>
          <w:p w14:paraId="237493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实践案例</w:t>
            </w:r>
          </w:p>
        </w:tc>
      </w:tr>
      <w:tr w14:paraId="105E9A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0" w:hRule="atLeast"/>
        </w:trPr>
        <w:tc>
          <w:tcPr>
            <w:tcW w:w="319" w:type="pct"/>
            <w:shd w:val="clear" w:color="auto" w:fill="auto"/>
            <w:vAlign w:val="center"/>
          </w:tcPr>
          <w:p w14:paraId="72FEB8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12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1ED051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实践探索类</w:t>
            </w:r>
          </w:p>
        </w:tc>
        <w:tc>
          <w:tcPr>
            <w:tcW w:w="989" w:type="pct"/>
            <w:shd w:val="clear" w:color="auto" w:fill="auto"/>
            <w:vAlign w:val="center"/>
          </w:tcPr>
          <w:p w14:paraId="490175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数据分类分级管理</w:t>
            </w:r>
          </w:p>
          <w:p w14:paraId="19659B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体系构建</w:t>
            </w:r>
          </w:p>
        </w:tc>
        <w:tc>
          <w:tcPr>
            <w:tcW w:w="2424" w:type="pct"/>
            <w:shd w:val="clear" w:color="auto" w:fill="auto"/>
            <w:vAlign w:val="center"/>
          </w:tcPr>
          <w:p w14:paraId="05A55B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探索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明确行业或企业数据分类分级的标准，依据数据分类分级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制定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不同的安全防护策略。</w:t>
            </w:r>
          </w:p>
        </w:tc>
        <w:tc>
          <w:tcPr>
            <w:tcW w:w="696" w:type="pct"/>
            <w:shd w:val="clear" w:color="auto" w:fill="auto"/>
            <w:vAlign w:val="center"/>
          </w:tcPr>
          <w:p w14:paraId="5F35A4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实践案例</w:t>
            </w:r>
          </w:p>
        </w:tc>
      </w:tr>
      <w:tr w14:paraId="467EE6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0" w:hRule="atLeast"/>
        </w:trPr>
        <w:tc>
          <w:tcPr>
            <w:tcW w:w="319" w:type="pct"/>
            <w:shd w:val="clear" w:color="auto" w:fill="auto"/>
            <w:vAlign w:val="top"/>
          </w:tcPr>
          <w:p w14:paraId="5C3E84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</w:p>
          <w:p w14:paraId="3D2643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13</w:t>
            </w:r>
          </w:p>
        </w:tc>
        <w:tc>
          <w:tcPr>
            <w:tcW w:w="571" w:type="pct"/>
            <w:shd w:val="clear" w:color="auto" w:fill="auto"/>
            <w:vAlign w:val="top"/>
          </w:tcPr>
          <w:p w14:paraId="179347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</w:p>
          <w:p w14:paraId="2CD9B9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实践探索类</w:t>
            </w:r>
          </w:p>
        </w:tc>
        <w:tc>
          <w:tcPr>
            <w:tcW w:w="989" w:type="pct"/>
            <w:shd w:val="clear" w:color="auto" w:fill="auto"/>
            <w:vAlign w:val="center"/>
          </w:tcPr>
          <w:p w14:paraId="1B8DF3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可信数据空间构建</w:t>
            </w:r>
          </w:p>
          <w:p w14:paraId="67DC26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与场景化落地</w:t>
            </w:r>
          </w:p>
        </w:tc>
        <w:tc>
          <w:tcPr>
            <w:tcW w:w="2424" w:type="pct"/>
            <w:shd w:val="clear" w:color="auto" w:fill="auto"/>
            <w:vAlign w:val="center"/>
          </w:tcPr>
          <w:p w14:paraId="38ACD1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探索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构建行业或企业可信数据空间，打造富有成效的应用场景，形成可推广的实施路径。</w:t>
            </w:r>
          </w:p>
        </w:tc>
        <w:tc>
          <w:tcPr>
            <w:tcW w:w="696" w:type="pct"/>
            <w:shd w:val="clear" w:color="auto" w:fill="auto"/>
            <w:vAlign w:val="center"/>
          </w:tcPr>
          <w:p w14:paraId="212886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实践案例</w:t>
            </w:r>
          </w:p>
        </w:tc>
      </w:tr>
      <w:tr w14:paraId="50113A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0" w:hRule="atLeast"/>
        </w:trPr>
        <w:tc>
          <w:tcPr>
            <w:tcW w:w="319" w:type="pct"/>
            <w:shd w:val="clear" w:color="auto" w:fill="auto"/>
            <w:vAlign w:val="center"/>
          </w:tcPr>
          <w:p w14:paraId="1D5CF1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0D2205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实践探索类</w:t>
            </w:r>
          </w:p>
        </w:tc>
        <w:tc>
          <w:tcPr>
            <w:tcW w:w="989" w:type="pct"/>
            <w:shd w:val="clear" w:color="auto" w:fill="auto"/>
            <w:vAlign w:val="center"/>
          </w:tcPr>
          <w:p w14:paraId="33C866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首席数据代表（官）在企业数字化转型中的作用发挥与实践</w:t>
            </w:r>
          </w:p>
          <w:p w14:paraId="61B87C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路径探索</w:t>
            </w:r>
          </w:p>
        </w:tc>
        <w:tc>
          <w:tcPr>
            <w:tcW w:w="2424" w:type="pct"/>
            <w:shd w:val="clear" w:color="auto" w:fill="auto"/>
            <w:vAlign w:val="center"/>
          </w:tcPr>
          <w:p w14:paraId="2B0700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探索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明确首席数据代表（官）在企业数据治理体系中的定位、职能边界、权责划分，完善首席数据代表（官）与业务部门、技术部门的协同机制，充分发挥其在数据资产化、数据价值化、数据安全合规、数据驱动决策等关键场景的作用，促进企业数字化转型发展。</w:t>
            </w:r>
          </w:p>
        </w:tc>
        <w:tc>
          <w:tcPr>
            <w:tcW w:w="696" w:type="pct"/>
            <w:shd w:val="clear" w:color="auto" w:fill="auto"/>
            <w:vAlign w:val="center"/>
          </w:tcPr>
          <w:p w14:paraId="0E0323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/>
              </w:rPr>
              <w:t>实践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案例</w:t>
            </w:r>
          </w:p>
        </w:tc>
      </w:tr>
      <w:tr w14:paraId="572123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0" w:hRule="atLeast"/>
        </w:trPr>
        <w:tc>
          <w:tcPr>
            <w:tcW w:w="319" w:type="pct"/>
            <w:shd w:val="clear" w:color="auto" w:fill="auto"/>
            <w:vAlign w:val="center"/>
          </w:tcPr>
          <w:p w14:paraId="5CA898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548A19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实践探索类</w:t>
            </w:r>
          </w:p>
        </w:tc>
        <w:tc>
          <w:tcPr>
            <w:tcW w:w="989" w:type="pct"/>
            <w:shd w:val="clear" w:color="auto" w:fill="auto"/>
            <w:vAlign w:val="center"/>
          </w:tcPr>
          <w:p w14:paraId="626D03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数字人才培育产教</w:t>
            </w:r>
          </w:p>
          <w:p w14:paraId="02F704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融合共同体建设</w:t>
            </w:r>
          </w:p>
        </w:tc>
        <w:tc>
          <w:tcPr>
            <w:tcW w:w="2424" w:type="pct"/>
            <w:shd w:val="clear" w:color="auto" w:fill="auto"/>
            <w:vAlign w:val="center"/>
          </w:tcPr>
          <w:p w14:paraId="5C00B7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探索由企业、高校、职业院校等联合打造可复制、可推广的数字人才领域产教融合共同体，加快构建产学研用协同创新体系，培养复合型、创新型、实战型数字人才。</w:t>
            </w:r>
          </w:p>
        </w:tc>
        <w:tc>
          <w:tcPr>
            <w:tcW w:w="696" w:type="pct"/>
            <w:shd w:val="clear" w:color="auto" w:fill="auto"/>
            <w:vAlign w:val="center"/>
          </w:tcPr>
          <w:p w14:paraId="45BE10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实践案例</w:t>
            </w:r>
          </w:p>
        </w:tc>
      </w:tr>
      <w:tr w14:paraId="766A8F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0" w:hRule="atLeast"/>
        </w:trPr>
        <w:tc>
          <w:tcPr>
            <w:tcW w:w="319" w:type="pct"/>
            <w:shd w:val="clear" w:color="auto" w:fill="auto"/>
            <w:vAlign w:val="center"/>
          </w:tcPr>
          <w:p w14:paraId="02DC1E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3460C0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实践探索类</w:t>
            </w:r>
          </w:p>
        </w:tc>
        <w:tc>
          <w:tcPr>
            <w:tcW w:w="989" w:type="pct"/>
            <w:shd w:val="clear" w:color="auto" w:fill="auto"/>
            <w:vAlign w:val="center"/>
          </w:tcPr>
          <w:p w14:paraId="7B28FB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高校、职业院校数据</w:t>
            </w:r>
          </w:p>
          <w:p w14:paraId="61FB45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要素学科专业建设</w:t>
            </w:r>
          </w:p>
          <w:p w14:paraId="6867BC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实践探索</w:t>
            </w:r>
          </w:p>
        </w:tc>
        <w:tc>
          <w:tcPr>
            <w:tcW w:w="2424" w:type="pct"/>
            <w:shd w:val="clear" w:color="auto" w:fill="auto"/>
            <w:vAlign w:val="center"/>
          </w:tcPr>
          <w:p w14:paraId="607642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探索加强数据要素相关学科专业建设，建立健全本硕博衔接的人才培养机制，根据产业发展需要及时动态调整数据相关专业，研究增设贴近市场需求的专业，构建相关学科专业课程教材体系。</w:t>
            </w:r>
          </w:p>
        </w:tc>
        <w:tc>
          <w:tcPr>
            <w:tcW w:w="696" w:type="pct"/>
            <w:shd w:val="clear" w:color="auto" w:fill="auto"/>
            <w:vAlign w:val="center"/>
          </w:tcPr>
          <w:p w14:paraId="5DD30C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实践案例</w:t>
            </w:r>
          </w:p>
        </w:tc>
      </w:tr>
    </w:tbl>
    <w:p w14:paraId="6DB554FB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845D4723-A08E-4CC5-A24B-E69A4021782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48E1971D-5012-4370-9397-A5FF08355B45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151B38B0-9C0E-487C-AD31-8F15AC5E0107}"/>
  </w:font>
  <w:font w:name="仿宋_GB2312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4" w:fontKey="{AC50F510-7A42-4BC1-867A-5F89657E1F5B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6C7875"/>
    <w:rsid w:val="496C78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2026-02-25T07:20:00Z</dcterms:created>
  <dc:creator>巧克力将军</dc:creator>
  <cp:lastModifiedBy>巧克力将军</cp:lastModifiedBy>
  <dcterms:modified xsi:type="dcterms:W3CDTF">2026-02-25T07:21:37Z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C99213C4502045B7B4B65C223A337B0C_11</vt:lpwstr>
  </property>
  <property fmtid="{D5CDD505-2E9C-101B-9397-08002B2CF9AE}" pid="4" name="KSOTemplateDocerSaveRecord">
    <vt:lpwstr>eyJoZGlkIjoiNTU0ZmIwYTQ3NzlmZGUxZmU3Zjk0M2IyZTNmM2IxNjAiLCJ1c2VySWQiOiI5NDg5NjkyNTEifQ==</vt:lpwstr>
  </property>
</Properties>
</file>